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AB7B7E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Phelan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AB7B7E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4718838" wp14:editId="14BFE14E">
            <wp:extent cx="9334500" cy="5972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AB7B7E"/>
    <w:rsid w:val="00B05329"/>
    <w:rsid w:val="00C13912"/>
    <w:rsid w:val="00CD1B0E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38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5773448"/>
        <c:axId val="332530304"/>
        <c:axId val="0"/>
      </c:bar3DChart>
      <c:catAx>
        <c:axId val="245773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530304"/>
        <c:crosses val="autoZero"/>
        <c:auto val="1"/>
        <c:lblAlgn val="ctr"/>
        <c:lblOffset val="100"/>
        <c:noMultiLvlLbl val="0"/>
      </c:catAx>
      <c:valAx>
        <c:axId val="332530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5773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0.15816</cdr:x>
      <cdr:y>0.25837</cdr:y>
    </cdr:from>
    <cdr:to>
      <cdr:x>0.52653</cdr:x>
      <cdr:y>0.29984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43050"/>
          <a:ext cx="3438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3,118</a:t>
          </a:r>
          <a:r>
            <a:rPr lang="en-US" sz="1100" i="1"/>
            <a:t> - Average Year Built </a:t>
          </a:r>
          <a:r>
            <a:rPr lang="en-US" sz="1100" b="1" i="1"/>
            <a:t>2007</a:t>
          </a:r>
        </a:p>
      </cdr:txBody>
    </cdr:sp>
  </cdr:relSizeAnchor>
  <cdr:relSizeAnchor xmlns:cdr="http://schemas.openxmlformats.org/drawingml/2006/chartDrawing">
    <cdr:from>
      <cdr:x>0.15816</cdr:x>
      <cdr:y>0.31898</cdr:y>
    </cdr:from>
    <cdr:to>
      <cdr:x>0.53163</cdr:x>
      <cdr:y>0.36045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905000"/>
          <a:ext cx="3486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 baseline="0"/>
            <a:t> 2,521 </a:t>
          </a:r>
          <a:r>
            <a:rPr lang="en-US" sz="1100" i="1" baseline="0"/>
            <a:t>- Average Year Built </a:t>
          </a:r>
          <a:r>
            <a:rPr lang="en-US" sz="1100" b="1" i="1" baseline="0"/>
            <a:t>1997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0.15816</cdr:x>
      <cdr:y>0.38278</cdr:y>
    </cdr:from>
    <cdr:to>
      <cdr:x>0.52143</cdr:x>
      <cdr:y>0.42584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86000"/>
          <a:ext cx="33909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</a:t>
          </a:r>
          <a:r>
            <a:rPr lang="en-US" sz="1100" b="1" i="1" baseline="0"/>
            <a:t> 2,361 </a:t>
          </a:r>
          <a:r>
            <a:rPr lang="en-US" sz="1100" i="1" baseline="0"/>
            <a:t>- Average Year Built </a:t>
          </a:r>
          <a:r>
            <a:rPr lang="en-US" sz="1100" b="1" i="1" baseline="0"/>
            <a:t>2002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0.15918</cdr:x>
      <cdr:y>0.44338</cdr:y>
    </cdr:from>
    <cdr:to>
      <cdr:x>0.52755</cdr:x>
      <cdr:y>0.48485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647950"/>
          <a:ext cx="3438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1,925</a:t>
          </a:r>
          <a:r>
            <a:rPr lang="en-US" sz="1100" i="1" baseline="0"/>
            <a:t> - Average Year Built </a:t>
          </a:r>
          <a:r>
            <a:rPr lang="en-US" sz="1100" b="1" i="1" baseline="0"/>
            <a:t>1996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0.15918</cdr:x>
      <cdr:y>0.50558</cdr:y>
    </cdr:from>
    <cdr:to>
      <cdr:x>0.5051</cdr:x>
      <cdr:y>0.54705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019425"/>
          <a:ext cx="3228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2,156</a:t>
          </a:r>
          <a:r>
            <a:rPr lang="en-US" sz="1100" i="1"/>
            <a:t> - Average Year Built </a:t>
          </a:r>
          <a:r>
            <a:rPr lang="en-US" sz="1100" b="1" i="1"/>
            <a:t>1991</a:t>
          </a:r>
        </a:p>
      </cdr:txBody>
    </cdr:sp>
  </cdr:relSizeAnchor>
  <cdr:relSizeAnchor xmlns:cdr="http://schemas.openxmlformats.org/drawingml/2006/chartDrawing">
    <cdr:from>
      <cdr:x>0.15918</cdr:x>
      <cdr:y>0.56619</cdr:y>
    </cdr:from>
    <cdr:to>
      <cdr:x>0.48878</cdr:x>
      <cdr:y>0.60925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381375"/>
          <a:ext cx="3076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2,196</a:t>
          </a:r>
          <a:r>
            <a:rPr lang="en-US" sz="1100" i="1"/>
            <a:t> -</a:t>
          </a:r>
          <a:r>
            <a:rPr lang="en-US" sz="1100" i="1" baseline="0"/>
            <a:t> Average Year Built </a:t>
          </a:r>
          <a:r>
            <a:rPr lang="en-US" sz="1100" b="1" i="1" baseline="0"/>
            <a:t>1993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0.15816</cdr:x>
      <cdr:y>0.62998</cdr:y>
    </cdr:from>
    <cdr:to>
      <cdr:x>0.48061</cdr:x>
      <cdr:y>0.67145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62375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1,775</a:t>
          </a:r>
          <a:r>
            <a:rPr lang="en-US" sz="1100" i="1" baseline="0"/>
            <a:t> - Average Year Built </a:t>
          </a:r>
          <a:r>
            <a:rPr lang="en-US" sz="1100" b="1" i="1" baseline="0"/>
            <a:t>2000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0.15816</cdr:x>
      <cdr:y>0.69059</cdr:y>
    </cdr:from>
    <cdr:to>
      <cdr:x>0.5051</cdr:x>
      <cdr:y>0.73206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124325"/>
          <a:ext cx="3238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1,564 </a:t>
          </a:r>
          <a:r>
            <a:rPr lang="en-US" sz="1100" i="1"/>
            <a:t>- Average Year Built </a:t>
          </a:r>
          <a:r>
            <a:rPr lang="en-US" sz="1100" b="1" i="1"/>
            <a:t>1994</a:t>
          </a:r>
        </a:p>
      </cdr:txBody>
    </cdr:sp>
  </cdr:relSizeAnchor>
  <cdr:relSizeAnchor xmlns:cdr="http://schemas.openxmlformats.org/drawingml/2006/chartDrawing">
    <cdr:from>
      <cdr:x>0.15816</cdr:x>
      <cdr:y>0.7512</cdr:y>
    </cdr:from>
    <cdr:to>
      <cdr:x>0.49592</cdr:x>
      <cdr:y>0.79585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86275"/>
          <a:ext cx="3152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1,655</a:t>
          </a:r>
          <a:r>
            <a:rPr lang="en-US" sz="1100" i="1" baseline="0"/>
            <a:t> - Average Year Built </a:t>
          </a:r>
          <a:r>
            <a:rPr lang="en-US" sz="1100" b="1" i="1" baseline="0"/>
            <a:t>1994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0.15816</cdr:x>
      <cdr:y>0.81499</cdr:y>
    </cdr:from>
    <cdr:to>
      <cdr:x>0.50102</cdr:x>
      <cdr:y>0.85646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67275"/>
          <a:ext cx="3200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1,693 </a:t>
          </a:r>
          <a:r>
            <a:rPr lang="en-US" sz="1100"/>
            <a:t>- Average</a:t>
          </a:r>
          <a:r>
            <a:rPr lang="en-US" sz="1100" baseline="0"/>
            <a:t> Year Built </a:t>
          </a:r>
          <a:r>
            <a:rPr lang="en-US" sz="1100" b="1" baseline="0"/>
            <a:t>1997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0.15816</cdr:x>
      <cdr:y>0.8756</cdr:y>
    </cdr:from>
    <cdr:to>
      <cdr:x>0.50204</cdr:x>
      <cdr:y>0.91866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229225"/>
          <a:ext cx="3209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1,225</a:t>
          </a:r>
          <a:r>
            <a:rPr lang="en-US" sz="1100" i="1"/>
            <a:t> - Average Year Built </a:t>
          </a:r>
          <a:r>
            <a:rPr lang="en-US" sz="1100" b="1" i="1"/>
            <a:t>1964</a:t>
          </a:r>
        </a:p>
      </cdr:txBody>
    </cdr:sp>
  </cdr:relSizeAnchor>
  <cdr:relSizeAnchor xmlns:cdr="http://schemas.openxmlformats.org/drawingml/2006/chartDrawing">
    <cdr:from>
      <cdr:x>0.15816</cdr:x>
      <cdr:y>0.9378</cdr:y>
    </cdr:from>
    <cdr:to>
      <cdr:x>0.53571</cdr:x>
      <cdr:y>0.98565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600700"/>
          <a:ext cx="35242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1,176</a:t>
          </a:r>
          <a:r>
            <a:rPr lang="en-US" sz="1100" i="1"/>
            <a:t> - Year Built </a:t>
          </a:r>
          <a:r>
            <a:rPr lang="en-US" sz="1100" b="1" i="1"/>
            <a:t>1969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4</cp:revision>
  <dcterms:created xsi:type="dcterms:W3CDTF">2017-05-10T18:23:00Z</dcterms:created>
  <dcterms:modified xsi:type="dcterms:W3CDTF">2017-05-10T18:32:00Z</dcterms:modified>
</cp:coreProperties>
</file>